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512064" cy="5130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0">
                      <a:alphaModFix amt="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" cy="513066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95000</wp:posOffset>
            </wp:positionV>
            <wp:extent cx="777240" cy="777240"/>
            <wp:effectExtent l="0" t="0" r="0" b="0"/>
            <wp:wrapNone/>
            <wp:docPr id="1001" name="Large logo" descr="Логотип Арт-Ресто-Бара МУХ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1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after="0"/>
        <w:jc w:val="center"/>
      </w:pPr>
      <w:r>
        <w:rPr>
          <w:rFonts w:ascii="Arial" w:hAnsi="Arial" w:eastAsia="Arial"/>
          <w:b/>
          <w:sz w:val="36"/>
          <w:color w:val="8F2432"/>
          <w:lang w:val="en-US"/>
        </w:rPr>
        <w:t>Technical rider</w:t>
      </w:r>
    </w:p>
    <w:p>
      <w:pPr>
        <w:spacing w:after="60"/>
        <w:jc w:val="center"/>
      </w:pPr>
      <w:r>
        <w:rPr>
          <w:rFonts w:ascii="Arial" w:hAnsi="Arial" w:eastAsia="Arial"/>
          <w:b/>
          <w:sz w:val="22"/>
          <w:lang w:val="en-US"/>
        </w:rPr>
        <w:t>MUHA Art Bar &amp; Restaurant</w:t>
      </w:r>
    </w:p>
    <w:tbl>
      <w:tblPr>
        <w:tblW w:type="dxa" w:w="11200"/>
        <w:jc w:val="center"/>
        <w:tblLook w:firstColumn="1" w:firstRow="1" w:lastColumn="0" w:lastRow="0" w:noHBand="0" w:noVBand="1" w:val="04A0"/>
        <w:tblLayout w:type="fixed"/>
      </w:tblPr>
      <w:tblGrid>
        <w:gridCol w:w="11168"/>
      </w:tblGrid>
      <w:tr>
        <w:tc>
          <w:tcPr>
            <w:tcW w:type="dxa" w:w="11168"/>
            <w:tcBorders>
              <w:top w:val="single" w:sz="6" w:color="D7C9B9"/>
              <w:left w:val="single" w:sz="6" w:color="D7C9B9"/>
              <w:bottom w:val="single" w:sz="6" w:color="D7C9B9"/>
              <w:right w:val="single" w:sz="6" w:color="D7C9B9"/>
            </w:tcBorders>
            <w:tcMar>
              <w:top w:w="30" w:type="dxa"/>
              <w:start w:w="40" w:type="dxa"/>
              <w:bottom w:w="30" w:type="dxa"/>
              <w:end w:w="40" w:type="dxa"/>
            </w:tcMar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675B52"/>
                <w:lang w:val="en-US"/>
              </w:rPr>
              <w:t>Equipment and connection arrangements must be agreed with the venue administrator in advance.</w:t>
            </w:r>
          </w:p>
        </w:tc>
      </w:tr>
    </w:tbl>
    <w:p>
      <w:pPr>
        <w:spacing w:after="40" w:before="20"/>
      </w:pPr>
    </w:p>
    <w:tbl>
      <w:tblPr>
        <w:tblW w:type="dxa" w:w="11200"/>
        <w:jc w:val="center"/>
        <w:tblLook w:firstColumn="1" w:firstRow="1" w:lastColumn="0" w:lastRow="0" w:noHBand="0" w:noVBand="1" w:val="04A0"/>
        <w:tblLayout w:type="fixed"/>
      </w:tblPr>
      <w:tblGrid>
        <w:gridCol w:w="3723"/>
        <w:gridCol w:w="3723"/>
        <w:gridCol w:w="3723"/>
      </w:tblGrid>
      <w:tr>
        <w:trPr>
          <w:trHeight w:val="260" w:hRule="atLeast"/>
        </w:trPr>
        <w:tc>
          <w:tcPr>
            <w:tcW w:type="dxa" w:w="5100"/>
            <w:shd w:fill="8F2432"/>
            <w:tcBorders>
              <w:top w:val="single" w:sz="5" w:color="D7C9B9"/>
              <w:left w:val="single" w:sz="5" w:color="D7C9B9"/>
              <w:bottom w:val="single" w:sz="5" w:color="D7C9B9"/>
              <w:right w:val="single" w:sz="5" w:color="D7C9B9"/>
            </w:tcBorders>
            <w:tcMar>
              <w:top w:w="20" w:type="dxa"/>
              <w:start w:w="40" w:type="dxa"/>
              <w:bottom w:w="20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FFFAF1"/>
                <w:lang w:val="en-US"/>
              </w:rPr>
              <w:t>Item</w:t>
            </w:r>
          </w:p>
        </w:tc>
        <w:tc>
          <w:tcPr>
            <w:tcW w:type="dxa" w:w="1200"/>
            <w:shd w:fill="8F2432"/>
            <w:tcBorders>
              <w:top w:val="single" w:sz="5" w:color="D7C9B9"/>
              <w:left w:val="single" w:sz="5" w:color="D7C9B9"/>
              <w:bottom w:val="single" w:sz="5" w:color="D7C9B9"/>
              <w:right w:val="single" w:sz="5" w:color="D7C9B9"/>
            </w:tcBorders>
            <w:tcMar>
              <w:top w:w="20" w:type="dxa"/>
              <w:start w:w="40" w:type="dxa"/>
              <w:bottom w:w="20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FFFAF1"/>
                <w:lang w:val="en-US"/>
              </w:rPr>
              <w:t>Qty</w:t>
            </w:r>
          </w:p>
        </w:tc>
        <w:tc>
          <w:tcPr>
            <w:tcW w:type="dxa" w:w="4900"/>
            <w:shd w:fill="8F2432"/>
            <w:tcBorders>
              <w:top w:val="single" w:sz="5" w:color="D7C9B9"/>
              <w:left w:val="single" w:sz="5" w:color="D7C9B9"/>
              <w:bottom w:val="single" w:sz="5" w:color="D7C9B9"/>
              <w:right w:val="single" w:sz="5" w:color="D7C9B9"/>
            </w:tcBorders>
            <w:tcMar>
              <w:top w:w="20" w:type="dxa"/>
              <w:start w:w="40" w:type="dxa"/>
              <w:bottom w:w="20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FFFAF1"/>
                <w:lang w:val="en-US"/>
              </w:rPr>
              <w:t>Specifications</w:t>
            </w:r>
          </w:p>
        </w:tc>
      </w:tr>
      <w:tr>
        <w:trPr>
          <w:trHeight w:val="260" w:hRule="atLeast"/>
        </w:trPr>
        <w:tc>
          <w:tcPr>
            <w:tcW w:type="dxa" w:w="11200"/>
            <w:gridSpan w:val="3"/>
            <w:tcBorders>
              <w:top w:val="single" w:sz="5" w:color="D7C9B9"/>
              <w:left w:val="single" w:sz="5" w:color="D7C9B9"/>
              <w:bottom w:val="single" w:sz="5" w:color="D7C9B9"/>
              <w:right w:val="single" w:sz="5" w:color="D7C9B9"/>
            </w:tcBorders>
            <w:tcMar>
              <w:top w:w="22" w:type="dxa"/>
              <w:start w:w="50" w:type="dxa"/>
              <w:bottom w:w="22" w:type="dxa"/>
              <w:end w:w="50" w:type="dxa"/>
            </w:tcMar>
            <w:vAlign w:val="center"/>
            <w:shd w:fill="2E6F68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FFFAF1"/>
                <w:lang w:val="en-US"/>
              </w:rPr>
              <w:t>Standard live performance equipment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Mackie-12 analogue mixing console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1 unit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12 channels; 4 microphone preamps; 3-band EQ per channel.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B-115D powered loudspeakers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2 units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Power: 1000 W.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AKG-Pro wireless dynamic vocal microphones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4 units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For vocals and presenters.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Behringer dynamic vocal microphones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4 units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For vocals and presenters.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Microphone stands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4 units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Standard performance stands.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Guitar stands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2 units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For guitars / bass guitars.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Keyboard stand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1 unit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For keyboard instruments.</w:t>
            </w:r>
          </w:p>
        </w:tc>
      </w:tr>
      <w:tr>
        <w:trPr>
          <w:trHeight w:val="260" w:hRule="atLeast"/>
        </w:trPr>
        <w:tc>
          <w:tcPr>
            <w:tcW w:type="dxa" w:w="11200"/>
            <w:gridSpan w:val="3"/>
            <w:tcBorders>
              <w:top w:val="single" w:sz="5" w:color="D7C9B9"/>
              <w:left w:val="single" w:sz="5" w:color="D7C9B9"/>
              <w:bottom w:val="single" w:sz="5" w:color="D7C9B9"/>
              <w:right w:val="single" w:sz="5" w:color="D7C9B9"/>
            </w:tcBorders>
            <w:tcMar>
              <w:top w:w="22" w:type="dxa"/>
              <w:start w:w="50" w:type="dxa"/>
              <w:bottom w:w="22" w:type="dxa"/>
              <w:end w:w="50" w:type="dxa"/>
            </w:tcMar>
            <w:vAlign w:val="center"/>
            <w:shd w:fill="2E6F68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FFFAF1"/>
                <w:lang w:val="en-US"/>
              </w:rPr>
              <w:t>Equipment available by prior arrangement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Sonor Smart Force acoustic drum kit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1 unit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Full-size acoustic drum kit.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Roland TD-1 electronic drum kit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1 unit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Electronic drum kit.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Yamaha PSR 520 synthesizer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2 units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61 keys.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Artesia PA-88H MIDI keyboard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1 unit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Full-size hammer-action keyboard.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Soundcraft UI 24 R digital mixing console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1 unit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Digital mixer for expanded routing.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Leem Proaudio NWX-18B subwoofers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2 units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Power: 1200 W.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Behringer NX3000 amplifier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1 unit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2 × 1500 W.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Hiwatt Maxwatt G100R guitar combo amplifier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1 unit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Power: 100 W.</w:t>
            </w:r>
          </w:p>
        </w:tc>
      </w:tr>
      <w:tr>
        <w:trPr>
          <w:trHeight w:val="280" w:hRule="atLeast"/>
        </w:trPr>
        <w:tc>
          <w:tcPr>
            <w:tcW w:type="dxa" w:w="51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Hiwatt-Maxwatt B300HD bass cabinet</w:t>
            </w:r>
          </w:p>
        </w:tc>
        <w:tc>
          <w:tcPr>
            <w:tcW w:type="dxa" w:w="12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1 unit</w:t>
            </w:r>
          </w:p>
        </w:tc>
        <w:tc>
          <w:tcPr>
            <w:tcW w:type="dxa" w:w="4900"/>
            <w:tcBorders>
              <w:top w:val="single" w:sz="4" w:color="D7C9B9"/>
              <w:left w:val="single" w:sz="4" w:color="D7C9B9"/>
              <w:bottom w:val="single" w:sz="4" w:color="D7C9B9"/>
              <w:right w:val="single" w:sz="4" w:color="D7C9B9"/>
            </w:tcBorders>
            <w:tcMar>
              <w:top w:w="18" w:type="dxa"/>
              <w:start w:w="40" w:type="dxa"/>
              <w:bottom w:w="18" w:type="dxa"/>
              <w:end w:w="40" w:type="dxa"/>
            </w:tcMar>
            <w:vAlign w:val="center"/>
          </w:tcPr>
          <w:p>
            <w:pPr>
              <w:spacing w:before="0" w:after="0" w:line="204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  <w:color w:val="211B19"/>
                <w:lang w:val="en-US"/>
              </w:rPr>
              <w:t>Power: 300 W.</w:t>
            </w:r>
          </w:p>
        </w:tc>
      </w:tr>
    </w:tbl>
    <w:sectPr w:rsidR="00FC693F" w:rsidRPr="0006063C" w:rsidSect="00034616">
      <w:headerReference w:type="default" r:id="rId9"/>
      <w:footerReference w:type="default" r:id="rId11"/>
      <w:pgSz w:w="11906" w:h="16838"/>
      <w:pgMar w:top="312" w:right="369" w:bottom="312" w:left="369" w:header="85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sz w:val="14"/>
        <w:color w:val="675B52"/>
        <w:lang w:val="en-US"/>
      </w:rPr>
      <w:t>MUHA Art Bar &amp; Restaurant • 3 Pestelya Street, St Petersburg</w:t>
    </w:r>
  </w:p>
</w:ftr>
</file>

<file path=word/header1.xml><?xml version="1.0" encoding="utf-8"?>
<w:hdr xmlns:w="http://schemas.openxmlformats.org/wordprocessingml/2006/main" xmlns:v="urn:schemas-microsoft-com:vml" xmlns:o="urn:schemas-microsoft-com:office:office" xmlns:r="http://schemas.openxmlformats.org/officeDocument/2006/relationships">
  <w:p>
    <w:pPr>
      <w:jc w:val="center"/>
    </w:pPr>
    <w:r>
      <w:pict>
        <v:shape id="MuhaLogoWatermark" o:spid="_x0000_s2049" type="#_x0000_t75" style="position:absolute; margin-left:0; margin-top:80pt; width:360pt; height:360pt; z-index:-251654144; mso-position-horizontal:center; mso-position-horizontal-relative:page; mso-position-vertical:center; mso-position-vertical-relative:page; mso-wrap-edited:f" stroked="f" filled="t">
          <v:imagedata r:id="rId1" o:title="Muha logo watermark"/>
          <v:fill opacity="0.07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