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EBE" w:rsidRDefault="003A0EBE" w:rsidP="003A0EBE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3A0EBE" w:rsidRPr="003A0EBE" w:rsidRDefault="003A0EBE" w:rsidP="003A0E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/>
          <w:sz w:val="28"/>
          <w:szCs w:val="28"/>
          <w:lang w:val="en-US"/>
        </w:rPr>
        <w:t xml:space="preserve">Basic terms for displaying works in group exhibitions</w:t>
      </w:r>
      <w:r w:rsidR="003D2B21">
        <w:rPr>
          <w:rFonts w:ascii="Times New Roman" w:hAnsi="Times New Roman" w:cs="Times New Roman"/>
          <w:sz w:val="28"/>
          <w:szCs w:val="28"/>
          <w:lang w:val="en-US"/>
        </w:rPr>
        <w:t xml:space="preserve"/>
      </w:r>
      <w:r w:rsidRPr="003A0EBE">
        <w:rPr>
          <w:rFonts w:ascii="Times New Roman" w:hAnsi="Times New Roman" w:cs="Times New Roman"/>
          <w:sz w:val="28"/>
          <w:szCs w:val="28"/>
          <w:lang w:val="en-US"/>
        </w:rPr>
        <w:t/>
      </w:r>
    </w:p>
    <w:p w:rsidR="003D2B21" w:rsidRDefault="003A0EBE" w:rsidP="003D2B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/>
          <w:sz w:val="28"/>
          <w:szCs w:val="28"/>
          <w:lang w:val="en-US"/>
        </w:rPr>
        <w:t>at MUHA Art Bar &amp; Restaurant:</w:t>
      </w:r>
      <w:proofErr w:type="spellStart"/>
      <w:r w:rsidRPr="003A0EBE">
        <w:rPr>
          <w:rFonts w:ascii="Times New Roman" w:hAnsi="Times New Roman" w:cs="Times New Roman"/>
          <w:sz w:val="28"/>
          <w:szCs w:val="28"/>
          <w:lang w:val="en-US"/>
        </w:rPr>
        <w:t/>
      </w:r>
      <w:proofErr w:type="spellEnd"/>
      <w:r w:rsidRPr="003A0EBE">
        <w:rPr>
          <w:rFonts w:ascii="Times New Roman" w:hAnsi="Times New Roman" w:cs="Times New Roman"/>
          <w:sz w:val="28"/>
          <w:szCs w:val="28"/>
          <w:lang w:val="en-US"/>
        </w:rPr>
        <w:t/>
      </w:r>
      <w:r w:rsidRPr="003A0EBE">
        <w:rPr>
          <w:rFonts w:ascii="Times New Roman" w:hAnsi="Times New Roman" w:cs="Times New Roman"/>
          <w:sz w:val="28"/>
          <w:szCs w:val="28"/>
        </w:rPr>
        <w:br/>
      </w:r>
      <w:r w:rsidRPr="003A0EBE">
        <w:rPr>
          <w:rFonts w:ascii="Times New Roman" w:hAnsi="Times New Roman" w:cs="Times New Roman"/>
          <w:sz w:val="28"/>
          <w:szCs w:val="28"/>
        </w:rPr>
        <w:br/>
      </w:r>
    </w:p>
    <w:p w:rsidR="003A0EBE" w:rsidRDefault="003A0EBE" w:rsidP="003A0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/>
          <w:sz w:val="28"/>
          <w:szCs w:val="28"/>
          <w:lang w:val="en-US"/>
        </w:rPr>
        <w:t>Each exhibition has a theme agreed in advance.</w:t>
      </w:r>
      <w:r>
        <w:rPr>
          <w:rFonts w:ascii="Times New Roman" w:hAnsi="Times New Roman" w:cs="Times New Roman"/>
          <w:sz w:val="28"/>
          <w:szCs w:val="28"/>
          <w:lang w:val="en-US"/>
        </w:rPr>
        <w:t/>
      </w:r>
      <w:r w:rsidRPr="003A0EBE">
        <w:rPr>
          <w:rFonts w:ascii="Times New Roman" w:hAnsi="Times New Roman" w:cs="Times New Roman"/>
          <w:sz w:val="28"/>
          <w:szCs w:val="28"/>
          <w:lang w:val="en-US"/>
        </w:rPr>
        <w:t/>
      </w:r>
    </w:p>
    <w:p w:rsidR="003A0EBE" w:rsidRDefault="003A0EBE" w:rsidP="003A0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0EBE" w:rsidRDefault="003A0EBE" w:rsidP="003A0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/>
          <w:sz w:val="28"/>
          <w:szCs w:val="28"/>
          <w:lang w:val="en-US"/>
        </w:rPr>
        <w:t>Each exhibition opens with a reception introducing every artist.</w:t>
      </w:r>
      <w:r w:rsidRPr="003A0EBE">
        <w:rPr>
          <w:rFonts w:ascii="Times New Roman" w:hAnsi="Times New Roman" w:cs="Times New Roman"/>
          <w:sz w:val="28"/>
          <w:szCs w:val="28"/>
          <w:lang w:val="en-US"/>
        </w:rPr>
        <w:br/>
        <w:t>The artist or their representative must attend the opening.</w:t>
      </w:r>
      <w:r w:rsidR="00AC6431">
        <w:rPr>
          <w:rFonts w:ascii="Times New Roman" w:hAnsi="Times New Roman" w:cs="Times New Roman"/>
          <w:sz w:val="28"/>
          <w:szCs w:val="28"/>
          <w:lang w:val="en-US"/>
        </w:rPr>
        <w:t xml:space="preserve"/>
      </w:r>
      <w:r w:rsidRPr="003A0EBE">
        <w:rPr>
          <w:rFonts w:ascii="Times New Roman" w:hAnsi="Times New Roman" w:cs="Times New Roman"/>
          <w:sz w:val="28"/>
          <w:szCs w:val="28"/>
          <w:lang w:val="en-US"/>
        </w:rPr>
        <w:t xml:space="preserve"/>
      </w:r>
    </w:p>
    <w:p w:rsidR="003A0EBE" w:rsidRDefault="003A0EBE" w:rsidP="003A0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6431" w:rsidRDefault="003A0EBE" w:rsidP="003A0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/>
          <w:sz w:val="28"/>
          <w:szCs w:val="28"/>
          <w:lang w:val="en-US"/>
        </w:rPr>
        <w:t>Artists hang their works before the exhibition, following the Art Director's instructions.</w:t>
      </w:r>
    </w:p>
    <w:p w:rsidR="003A0EBE" w:rsidRDefault="003A0EBE" w:rsidP="003A0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/>
          <w:sz w:val="28"/>
          <w:szCs w:val="28"/>
          <w:lang w:val="en-US"/>
        </w:rPr>
        <w:br/>
        <w:t>The gallery provides a frame and fixings if needed.</w:t>
      </w:r>
      <w:r w:rsidR="00AC6431">
        <w:rPr>
          <w:rFonts w:ascii="Times New Roman" w:hAnsi="Times New Roman" w:cs="Times New Roman"/>
          <w:sz w:val="28"/>
          <w:szCs w:val="28"/>
          <w:lang w:val="en-US"/>
        </w:rPr>
        <w:t/>
      </w:r>
      <w:r w:rsidRPr="003A0EBE">
        <w:rPr>
          <w:rFonts w:ascii="Times New Roman" w:hAnsi="Times New Roman" w:cs="Times New Roman"/>
          <w:sz w:val="28"/>
          <w:szCs w:val="28"/>
          <w:lang w:val="en-US"/>
        </w:rPr>
        <w:t/>
      </w:r>
      <w:r w:rsidRPr="003A0EBE">
        <w:rPr>
          <w:rFonts w:ascii="Times New Roman" w:hAnsi="Times New Roman" w:cs="Times New Roman"/>
          <w:sz w:val="28"/>
          <w:szCs w:val="28"/>
        </w:rPr>
        <w:br/>
      </w:r>
    </w:p>
    <w:p w:rsidR="003A0EBE" w:rsidRDefault="003A0EBE" w:rsidP="003A0EB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/>
          <w:sz w:val="28"/>
          <w:szCs w:val="28"/>
          <w:lang w:val="en-US"/>
        </w:rPr>
        <w:t>Display period: 1 month.</w:t>
      </w:r>
    </w:p>
    <w:p w:rsidR="003A0EBE" w:rsidRDefault="003A0EBE" w:rsidP="003A0EB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/>
          <w:sz w:val="28"/>
          <w:szCs w:val="28"/>
          <w:lang w:val="en-US"/>
        </w:rPr>
        <w:t>Display is free for works priced up to RUB 5000.</w:t>
      </w:r>
    </w:p>
    <w:p w:rsidR="003A0EBE" w:rsidRDefault="003A0EBE" w:rsidP="003A0EB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/>
          <w:sz w:val="28"/>
          <w:szCs w:val="28"/>
          <w:lang w:val="en-US"/>
        </w:rPr>
        <w:t>For works priced above RUB 5000, the display fee is 10% of the price.</w:t>
      </w:r>
    </w:p>
    <w:p w:rsidR="003A0EBE" w:rsidRDefault="003A0EBE" w:rsidP="003A0EB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/>
          <w:sz w:val="28"/>
          <w:szCs w:val="28"/>
          <w:lang w:val="en-US"/>
        </w:rPr>
        <w:t>Sales commission: 15% of the price.</w:t>
      </w:r>
    </w:p>
    <w:p w:rsidR="003A0EBE" w:rsidRPr="003A0EBE" w:rsidRDefault="003A0EBE" w:rsidP="003A0EB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/>
          <w:sz w:val="28"/>
          <w:szCs w:val="28"/>
          <w:lang w:val="en-US"/>
        </w:rPr>
        <w:t>Storage after the exhibition period: RUB 100 per day.</w:t>
      </w:r>
    </w:p>
    <w:p w:rsidR="00EF2622" w:rsidRDefault="00EF2622" w:rsidP="003A0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6431" w:rsidRPr="003A0EBE" w:rsidRDefault="00AC6431" w:rsidP="003A0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>Terms for solo exhibitions are agreed individually.</w:t>
      </w:r>
    </w:p>
    <w:sectPr w:rsidR="00AC6431" w:rsidRPr="003A0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3550CC"/>
    <w:multiLevelType w:val="hybridMultilevel"/>
    <w:tmpl w:val="CFA43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F01AF"/>
    <w:multiLevelType w:val="hybridMultilevel"/>
    <w:tmpl w:val="AA82C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EBE"/>
    <w:rsid w:val="003A0EBE"/>
    <w:rsid w:val="003D2B21"/>
    <w:rsid w:val="00AC6431"/>
    <w:rsid w:val="00EF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CBCAC"/>
  <w15:chartTrackingRefBased/>
  <w15:docId w15:val="{8C0D0CA3-C563-4CC1-A91A-DD6FF9831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E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2026-05-28T12:24:00Z</dcterms:created>
  <dcterms:modified xsi:type="dcterms:W3CDTF">2026-05-28T12:36:00Z</dcterms:modified>
</cp:coreProperties>
</file>